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0644B" w:rsidRPr="00ED1E7F" w14:paraId="554DFBDE" w14:textId="77777777" w:rsidTr="00420D71">
        <w:tc>
          <w:tcPr>
            <w:tcW w:w="5148" w:type="dxa"/>
            <w:shd w:val="clear" w:color="auto" w:fill="auto"/>
            <w:vAlign w:val="center"/>
          </w:tcPr>
          <w:p w14:paraId="172CF995" w14:textId="77777777" w:rsidR="0050644B" w:rsidRPr="0050644B" w:rsidRDefault="0050644B" w:rsidP="0050644B">
            <w:pPr>
              <w:spacing w:after="0" w:line="240" w:lineRule="auto"/>
              <w:contextualSpacing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Resources </w:t>
            </w:r>
            <w:r w:rsidRPr="0050644B">
              <w:rPr>
                <w:rFonts w:ascii="Arial" w:hAnsi="Arial"/>
                <w:iCs/>
                <w:sz w:val="36"/>
                <w:szCs w:val="36"/>
              </w:rPr>
              <w:t>for</w:t>
            </w: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 Writing</w:t>
            </w:r>
          </w:p>
          <w:p w14:paraId="7E2E37C4" w14:textId="77777777" w:rsidR="0050644B" w:rsidRDefault="0050644B" w:rsidP="0050644B">
            <w:pPr>
              <w:spacing w:after="0" w:line="240" w:lineRule="auto"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IFSPs </w:t>
            </w:r>
            <w:r w:rsidRPr="0050644B">
              <w:rPr>
                <w:rFonts w:ascii="Arial" w:hAnsi="Arial"/>
                <w:iCs/>
                <w:sz w:val="36"/>
                <w:szCs w:val="36"/>
              </w:rPr>
              <w:t>and</w:t>
            </w: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 IEPs</w:t>
            </w:r>
          </w:p>
          <w:p w14:paraId="62B6AC09" w14:textId="1169B4E1" w:rsidR="0050644B" w:rsidRPr="0050644B" w:rsidRDefault="0050644B" w:rsidP="0050644B">
            <w:pPr>
              <w:spacing w:before="120" w:after="0" w:line="240" w:lineRule="auto"/>
              <w:outlineLvl w:val="0"/>
              <w:rPr>
                <w:rFonts w:ascii="Arial" w:hAnsi="Arial"/>
                <w:i/>
                <w:iCs/>
                <w:sz w:val="24"/>
                <w:szCs w:val="24"/>
              </w:rPr>
            </w:pPr>
            <w:proofErr w:type="gramStart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>updated</w:t>
            </w:r>
            <w:proofErr w:type="gramEnd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 xml:space="preserve"> May 2014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4F2C298" w14:textId="0A4D73D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DBF7586" wp14:editId="5D4A668F">
                  <wp:extent cx="3073400" cy="482600"/>
                  <wp:effectExtent l="0" t="0" r="0" b="0"/>
                  <wp:docPr id="2" name="Picture 1" descr="ectacente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tacente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F538" w14:textId="7777777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</w:rPr>
            </w:pPr>
            <w:r w:rsidRPr="00ED1E7F">
              <w:rPr>
                <w:rFonts w:cs="Arial"/>
                <w:bCs/>
              </w:rPr>
              <w:t>The Early Childhood Technical Assistance Center</w:t>
            </w:r>
          </w:p>
          <w:p w14:paraId="250F416F" w14:textId="7777777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ED1E7F">
              <w:rPr>
                <w:rFonts w:cs="Arial"/>
                <w:bCs/>
                <w:i/>
              </w:rPr>
              <w:t>Improving Systems, Practices and Outcomes</w:t>
            </w:r>
          </w:p>
        </w:tc>
      </w:tr>
    </w:tbl>
    <w:p w14:paraId="7CC4F93D" w14:textId="77777777" w:rsidR="007E6E69" w:rsidRPr="0050644B" w:rsidRDefault="007E6E69" w:rsidP="000524EE">
      <w:pPr>
        <w:spacing w:after="0" w:line="240" w:lineRule="auto"/>
        <w:rPr>
          <w:rFonts w:ascii="Arial" w:hAnsi="Arial"/>
          <w:b/>
          <w:sz w:val="12"/>
          <w:szCs w:val="12"/>
        </w:rPr>
      </w:pPr>
    </w:p>
    <w:p w14:paraId="7B270095" w14:textId="77777777" w:rsidR="004B554A" w:rsidRPr="004B554A" w:rsidRDefault="004B554A" w:rsidP="00FA4181">
      <w:pPr>
        <w:pBdr>
          <w:bottom w:val="dotted" w:sz="4" w:space="1" w:color="auto"/>
        </w:pBdr>
        <w:spacing w:after="120" w:line="240" w:lineRule="auto"/>
        <w:outlineLvl w:val="0"/>
        <w:rPr>
          <w:rFonts w:ascii="Arial" w:hAnsi="Arial"/>
          <w:b/>
          <w:sz w:val="28"/>
          <w:szCs w:val="28"/>
        </w:rPr>
      </w:pPr>
    </w:p>
    <w:p w14:paraId="500F4BBF" w14:textId="77777777" w:rsidR="009E366B" w:rsidRPr="004B554A" w:rsidRDefault="00053A9B" w:rsidP="00FA4181">
      <w:pPr>
        <w:pBdr>
          <w:bottom w:val="dotted" w:sz="4" w:space="1" w:color="auto"/>
        </w:pBdr>
        <w:spacing w:after="120" w:line="240" w:lineRule="auto"/>
        <w:outlineLvl w:val="0"/>
        <w:rPr>
          <w:rFonts w:ascii="Arial" w:hAnsi="Arial"/>
          <w:b/>
          <w:sz w:val="28"/>
          <w:szCs w:val="28"/>
        </w:rPr>
      </w:pPr>
      <w:r w:rsidRPr="004B554A">
        <w:rPr>
          <w:rFonts w:ascii="Arial" w:hAnsi="Arial"/>
          <w:b/>
          <w:sz w:val="28"/>
          <w:szCs w:val="28"/>
        </w:rPr>
        <w:t xml:space="preserve">Resources for Writing </w:t>
      </w:r>
      <w:r w:rsidR="009E366B" w:rsidRPr="004B554A">
        <w:rPr>
          <w:rFonts w:ascii="Arial" w:hAnsi="Arial"/>
          <w:b/>
          <w:sz w:val="28"/>
          <w:szCs w:val="28"/>
        </w:rPr>
        <w:t>IFSP</w:t>
      </w:r>
      <w:r w:rsidRPr="004B554A">
        <w:rPr>
          <w:rFonts w:ascii="Arial" w:hAnsi="Arial"/>
          <w:b/>
          <w:sz w:val="28"/>
          <w:szCs w:val="28"/>
        </w:rPr>
        <w:t>s</w:t>
      </w:r>
    </w:p>
    <w:p w14:paraId="133C4DF9" w14:textId="68B7DB5C" w:rsidR="00E75983" w:rsidRPr="004C227E" w:rsidRDefault="00F7012B" w:rsidP="00E75983">
      <w:pPr>
        <w:spacing w:after="0"/>
        <w:rPr>
          <w:rStyle w:val="Hyperlink"/>
          <w:rFonts w:ascii="Arial" w:hAnsi="Arial"/>
          <w:bCs/>
          <w:iCs/>
          <w:color w:val="auto"/>
          <w:sz w:val="24"/>
          <w:szCs w:val="24"/>
          <w:u w:val="none"/>
        </w:rPr>
      </w:pPr>
      <w:r w:rsidRPr="004C227E">
        <w:rPr>
          <w:rFonts w:ascii="Arial" w:hAnsi="Arial"/>
          <w:b/>
          <w:i/>
          <w:iCs/>
          <w:sz w:val="24"/>
          <w:szCs w:val="24"/>
        </w:rPr>
        <w:t>Agreed Upon Practices For Providing Early Intervention S</w:t>
      </w:r>
      <w:r w:rsidR="00F83268" w:rsidRPr="004C227E">
        <w:rPr>
          <w:rFonts w:ascii="Arial" w:hAnsi="Arial"/>
          <w:b/>
          <w:i/>
          <w:iCs/>
          <w:sz w:val="24"/>
          <w:szCs w:val="24"/>
        </w:rPr>
        <w:t xml:space="preserve">ervices In Natural Environments (2008): </w:t>
      </w:r>
      <w:hyperlink r:id="rId9" w:history="1">
        <w:r w:rsidR="00692FBB" w:rsidRPr="004C227E">
          <w:rPr>
            <w:rStyle w:val="Hyperlink"/>
            <w:rFonts w:ascii="Arial" w:hAnsi="Arial"/>
            <w:bCs/>
            <w:iCs/>
            <w:color w:val="auto"/>
            <w:sz w:val="24"/>
            <w:szCs w:val="24"/>
            <w:u w:val="none"/>
          </w:rPr>
          <w:t>http://ectacenter.org/~pdfs/topics/families/AgreedUponPractices_FinalDraft2_01_08.pdf</w:t>
        </w:r>
      </w:hyperlink>
    </w:p>
    <w:p w14:paraId="75D9C0C4" w14:textId="0B8803AE" w:rsidR="00EE4C1D" w:rsidRPr="004C227E" w:rsidRDefault="00F83268" w:rsidP="004B554A">
      <w:pPr>
        <w:spacing w:after="120"/>
        <w:ind w:left="180"/>
        <w:rPr>
          <w:rFonts w:ascii="Arial" w:hAnsi="Arial"/>
          <w:sz w:val="24"/>
          <w:szCs w:val="24"/>
        </w:rPr>
      </w:pPr>
      <w:r w:rsidRPr="004C227E">
        <w:rPr>
          <w:rStyle w:val="Hyperlink"/>
          <w:rFonts w:ascii="Arial" w:hAnsi="Arial"/>
          <w:bCs/>
          <w:iCs/>
          <w:color w:val="auto"/>
          <w:sz w:val="24"/>
          <w:szCs w:val="24"/>
          <w:u w:val="none"/>
        </w:rPr>
        <w:t>This document was created by the OSEP Community of Practice Part C Setting’s Workgroup on Principles and Practices in Natural Environments</w:t>
      </w:r>
      <w:r w:rsidR="00E611D9" w:rsidRPr="004C227E">
        <w:rPr>
          <w:rStyle w:val="Hyperlink"/>
          <w:rFonts w:ascii="Arial" w:hAnsi="Arial"/>
          <w:bCs/>
          <w:iCs/>
          <w:color w:val="auto"/>
          <w:sz w:val="24"/>
          <w:szCs w:val="24"/>
          <w:u w:val="none"/>
        </w:rPr>
        <w:t>, and</w:t>
      </w:r>
      <w:r w:rsidRPr="004C227E">
        <w:rPr>
          <w:rFonts w:ascii="Arial" w:hAnsi="Arial" w:cstheme="minorHAnsi"/>
          <w:sz w:val="24"/>
          <w:szCs w:val="24"/>
        </w:rPr>
        <w:t xml:space="preserve"> highlights practices supporting children with disabilities and their families as they access IDEA services, from first contact to development of the Individualized Family Services Plan (IFSP).</w:t>
      </w:r>
      <w:r w:rsidR="00FA4181" w:rsidRPr="004C227E">
        <w:rPr>
          <w:rFonts w:ascii="Arial" w:hAnsi="Arial" w:cstheme="minorHAnsi"/>
          <w:sz w:val="24"/>
          <w:szCs w:val="24"/>
        </w:rPr>
        <w:t xml:space="preserve"> </w:t>
      </w:r>
      <w:r w:rsidR="00E611D9" w:rsidRPr="004C227E">
        <w:rPr>
          <w:rFonts w:ascii="Arial" w:hAnsi="Arial" w:cstheme="minorHAnsi"/>
          <w:sz w:val="24"/>
          <w:szCs w:val="24"/>
        </w:rPr>
        <w:t>B</w:t>
      </w:r>
      <w:r w:rsidRPr="004C227E">
        <w:rPr>
          <w:rFonts w:ascii="Arial" w:hAnsi="Arial" w:cstheme="minorHAnsi"/>
          <w:sz w:val="24"/>
          <w:szCs w:val="24"/>
        </w:rPr>
        <w:t xml:space="preserve">oth </w:t>
      </w:r>
      <w:r w:rsidR="009F247F" w:rsidRPr="004C227E">
        <w:rPr>
          <w:rFonts w:ascii="Arial" w:hAnsi="Arial" w:cstheme="minorHAnsi"/>
          <w:sz w:val="24"/>
          <w:szCs w:val="24"/>
        </w:rPr>
        <w:t>required and</w:t>
      </w:r>
      <w:r w:rsidRPr="004C227E">
        <w:rPr>
          <w:rFonts w:ascii="Arial" w:hAnsi="Arial" w:cstheme="minorHAnsi"/>
          <w:sz w:val="24"/>
          <w:szCs w:val="24"/>
        </w:rPr>
        <w:t xml:space="preserve"> quality practices</w:t>
      </w:r>
      <w:r w:rsidR="00E611D9" w:rsidRPr="004C227E">
        <w:rPr>
          <w:rFonts w:ascii="Arial" w:hAnsi="Arial" w:cstheme="minorHAnsi"/>
          <w:sz w:val="24"/>
          <w:szCs w:val="24"/>
        </w:rPr>
        <w:t xml:space="preserve"> are reflected.</w:t>
      </w:r>
    </w:p>
    <w:p w14:paraId="23A9423F" w14:textId="77777777" w:rsidR="00E75983" w:rsidRPr="004C227E" w:rsidRDefault="00F83268" w:rsidP="00E75983">
      <w:pPr>
        <w:spacing w:after="0"/>
        <w:rPr>
          <w:rStyle w:val="Hyperlink"/>
          <w:rFonts w:ascii="Arial" w:hAnsi="Arial"/>
          <w:color w:val="auto"/>
          <w:sz w:val="24"/>
          <w:szCs w:val="24"/>
          <w:u w:val="none"/>
        </w:rPr>
      </w:pPr>
      <w:proofErr w:type="spellStart"/>
      <w:r w:rsidRPr="004C227E">
        <w:rPr>
          <w:rFonts w:ascii="Arial" w:hAnsi="Arial"/>
          <w:b/>
          <w:iCs/>
          <w:sz w:val="24"/>
          <w:szCs w:val="24"/>
        </w:rPr>
        <w:t>Shelden</w:t>
      </w:r>
      <w:proofErr w:type="spellEnd"/>
      <w:r w:rsidRPr="004C227E">
        <w:rPr>
          <w:rFonts w:ascii="Arial" w:hAnsi="Arial"/>
          <w:b/>
          <w:iCs/>
          <w:sz w:val="24"/>
          <w:szCs w:val="24"/>
        </w:rPr>
        <w:t>, M. and Rush, D.</w:t>
      </w:r>
      <w:r w:rsidR="00FA4181" w:rsidRPr="004C227E">
        <w:rPr>
          <w:rFonts w:ascii="Arial" w:hAnsi="Arial"/>
          <w:b/>
          <w:i/>
          <w:iCs/>
          <w:sz w:val="24"/>
          <w:szCs w:val="24"/>
        </w:rPr>
        <w:t xml:space="preserve"> </w:t>
      </w:r>
      <w:r w:rsidR="00F7012B" w:rsidRPr="004C227E">
        <w:rPr>
          <w:rFonts w:ascii="Arial" w:hAnsi="Arial"/>
          <w:b/>
          <w:i/>
          <w:iCs/>
          <w:sz w:val="24"/>
          <w:szCs w:val="24"/>
        </w:rPr>
        <w:t>Tips and Techniques for Developing Participation-Based IFSP Outcomes Statements</w:t>
      </w:r>
      <w:r w:rsidR="00F7012B" w:rsidRPr="004C227E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F7012B" w:rsidRPr="004C227E">
        <w:rPr>
          <w:rFonts w:ascii="Arial" w:hAnsi="Arial"/>
          <w:b/>
          <w:sz w:val="24"/>
          <w:szCs w:val="24"/>
        </w:rPr>
        <w:t>BriefCASE</w:t>
      </w:r>
      <w:proofErr w:type="spellEnd"/>
      <w:r w:rsidR="00F7012B" w:rsidRPr="004C227E">
        <w:rPr>
          <w:rFonts w:ascii="Arial" w:hAnsi="Arial"/>
          <w:b/>
          <w:sz w:val="24"/>
          <w:szCs w:val="24"/>
        </w:rPr>
        <w:t xml:space="preserve">, </w:t>
      </w:r>
      <w:proofErr w:type="spellStart"/>
      <w:proofErr w:type="gramStart"/>
      <w:r w:rsidR="00F7012B" w:rsidRPr="004C227E">
        <w:rPr>
          <w:rFonts w:ascii="Arial" w:hAnsi="Arial"/>
          <w:b/>
          <w:sz w:val="24"/>
          <w:szCs w:val="24"/>
        </w:rPr>
        <w:t>Vol</w:t>
      </w:r>
      <w:proofErr w:type="spellEnd"/>
      <w:r w:rsidR="00F7012B" w:rsidRPr="004C227E">
        <w:rPr>
          <w:rFonts w:ascii="Arial" w:hAnsi="Arial"/>
          <w:b/>
          <w:sz w:val="24"/>
          <w:szCs w:val="24"/>
        </w:rPr>
        <w:t xml:space="preserve"> 2, No. 1</w:t>
      </w:r>
      <w:proofErr w:type="gramEnd"/>
      <w:r w:rsidR="00F7012B" w:rsidRPr="004C227E">
        <w:rPr>
          <w:rFonts w:ascii="Arial" w:hAnsi="Arial"/>
          <w:b/>
          <w:sz w:val="24"/>
          <w:szCs w:val="24"/>
        </w:rPr>
        <w:t xml:space="preserve"> </w:t>
      </w:r>
      <w:r w:rsidR="00053A9B" w:rsidRPr="004C227E">
        <w:rPr>
          <w:rStyle w:val="Hyperlink"/>
          <w:rFonts w:ascii="Arial" w:hAnsi="Arial"/>
          <w:b/>
          <w:color w:val="auto"/>
          <w:sz w:val="24"/>
          <w:szCs w:val="24"/>
          <w:u w:val="none"/>
        </w:rPr>
        <w:t>(</w:t>
      </w:r>
      <w:r w:rsidRPr="004C227E">
        <w:rPr>
          <w:rStyle w:val="Hyperlink"/>
          <w:rFonts w:ascii="Arial" w:hAnsi="Arial"/>
          <w:b/>
          <w:color w:val="auto"/>
          <w:sz w:val="24"/>
          <w:szCs w:val="24"/>
          <w:u w:val="none"/>
        </w:rPr>
        <w:t>2009)</w:t>
      </w:r>
      <w:r w:rsidR="00611FD1" w:rsidRPr="004C227E">
        <w:rPr>
          <w:rStyle w:val="Hyperlink"/>
          <w:rFonts w:ascii="Arial" w:hAnsi="Arial"/>
          <w:b/>
          <w:color w:val="auto"/>
          <w:sz w:val="24"/>
          <w:szCs w:val="24"/>
          <w:u w:val="none"/>
        </w:rPr>
        <w:t>:</w:t>
      </w:r>
      <w:r w:rsidR="00611FD1"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 </w:t>
      </w:r>
      <w:hyperlink r:id="rId10" w:history="1">
        <w:r w:rsidR="00611FD1" w:rsidRPr="004C227E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http://www.fippcase.org/briefcase/briefcase_vol2_no1.pdf</w:t>
        </w:r>
      </w:hyperlink>
    </w:p>
    <w:p w14:paraId="3DC50C00" w14:textId="2F5F390A" w:rsidR="00EE4C1D" w:rsidRPr="004C227E" w:rsidRDefault="00F83268" w:rsidP="004B554A">
      <w:pPr>
        <w:spacing w:after="120"/>
        <w:ind w:left="180"/>
        <w:rPr>
          <w:rFonts w:ascii="Arial" w:hAnsi="Arial"/>
          <w:sz w:val="24"/>
          <w:szCs w:val="24"/>
        </w:rPr>
      </w:pPr>
      <w:r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In this document, national experts M’Lisa Shelden and Dathan Rush provide strategies to assist early intervention practitioners </w:t>
      </w:r>
      <w:r w:rsidR="009F247F"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>in writing</w:t>
      </w:r>
      <w:r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 family-centered Individualized Family Service Plan (IFSP) outcome </w:t>
      </w:r>
      <w:r w:rsidR="00E611D9"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>statements which</w:t>
      </w:r>
      <w:r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 are participation-based</w:t>
      </w:r>
      <w:r w:rsidR="00E611D9"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>,</w:t>
      </w:r>
      <w:r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 family- or child-focused</w:t>
      </w:r>
      <w:r w:rsidR="00E611D9"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>,</w:t>
      </w:r>
      <w:r w:rsidRPr="004C227E">
        <w:rPr>
          <w:rStyle w:val="Hyperlink"/>
          <w:rFonts w:ascii="Arial" w:hAnsi="Arial"/>
          <w:color w:val="auto"/>
          <w:sz w:val="24"/>
          <w:szCs w:val="24"/>
          <w:u w:val="none"/>
        </w:rPr>
        <w:t xml:space="preserve"> and related to child learning within the context of everyday opportunities.</w:t>
      </w:r>
    </w:p>
    <w:p w14:paraId="23411698" w14:textId="6BBF5851" w:rsidR="00E75983" w:rsidRPr="004C227E" w:rsidRDefault="00F7012B" w:rsidP="00E75983">
      <w:pPr>
        <w:spacing w:after="0"/>
        <w:rPr>
          <w:rFonts w:ascii="Arial" w:hAnsi="Arial"/>
          <w:sz w:val="24"/>
          <w:szCs w:val="24"/>
        </w:rPr>
      </w:pPr>
      <w:r w:rsidRPr="004C227E">
        <w:rPr>
          <w:rFonts w:ascii="Arial" w:hAnsi="Arial"/>
          <w:b/>
          <w:i/>
          <w:sz w:val="24"/>
          <w:szCs w:val="24"/>
        </w:rPr>
        <w:t>ECTA</w:t>
      </w:r>
      <w:r w:rsidR="00E92644" w:rsidRPr="004C227E">
        <w:rPr>
          <w:rFonts w:ascii="Arial" w:hAnsi="Arial"/>
          <w:b/>
          <w:i/>
          <w:sz w:val="24"/>
          <w:szCs w:val="24"/>
        </w:rPr>
        <w:t xml:space="preserve"> </w:t>
      </w:r>
      <w:r w:rsidRPr="004C227E">
        <w:rPr>
          <w:rFonts w:ascii="Arial" w:hAnsi="Arial"/>
          <w:b/>
          <w:i/>
          <w:sz w:val="24"/>
          <w:szCs w:val="24"/>
        </w:rPr>
        <w:t>C</w:t>
      </w:r>
      <w:r w:rsidR="00E92644" w:rsidRPr="004C227E">
        <w:rPr>
          <w:rFonts w:ascii="Arial" w:hAnsi="Arial"/>
          <w:b/>
          <w:i/>
          <w:sz w:val="24"/>
          <w:szCs w:val="24"/>
        </w:rPr>
        <w:t>enter</w:t>
      </w:r>
      <w:r w:rsidRPr="004C227E">
        <w:rPr>
          <w:rFonts w:ascii="Arial" w:hAnsi="Arial"/>
          <w:b/>
          <w:i/>
          <w:sz w:val="24"/>
          <w:szCs w:val="24"/>
        </w:rPr>
        <w:t xml:space="preserve"> website</w:t>
      </w:r>
      <w:r w:rsidR="00EA2314" w:rsidRPr="004C227E">
        <w:rPr>
          <w:rFonts w:ascii="Arial" w:hAnsi="Arial"/>
          <w:b/>
          <w:i/>
          <w:sz w:val="24"/>
          <w:szCs w:val="24"/>
        </w:rPr>
        <w:t>:</w:t>
      </w:r>
      <w:r w:rsidR="00F83268" w:rsidRPr="004C227E">
        <w:rPr>
          <w:rFonts w:ascii="Arial" w:hAnsi="Arial"/>
          <w:b/>
          <w:i/>
          <w:sz w:val="24"/>
          <w:szCs w:val="24"/>
        </w:rPr>
        <w:t xml:space="preserve"> Resources for Writing Good IFSP Outcomes:</w:t>
      </w:r>
      <w:r w:rsidR="00F83268" w:rsidRPr="004C227E">
        <w:rPr>
          <w:rFonts w:ascii="Arial" w:hAnsi="Arial"/>
          <w:i/>
          <w:sz w:val="24"/>
          <w:szCs w:val="24"/>
        </w:rPr>
        <w:t xml:space="preserve"> </w:t>
      </w:r>
      <w:hyperlink r:id="rId11" w:history="1">
        <w:r w:rsidR="00692FBB" w:rsidRPr="004C227E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http://ectacenter.org/topics/families/famresources.asp</w:t>
        </w:r>
      </w:hyperlink>
    </w:p>
    <w:p w14:paraId="4B6A2BF3" w14:textId="130C8DFA" w:rsidR="000D033B" w:rsidRPr="004C227E" w:rsidRDefault="00E92644" w:rsidP="004B554A">
      <w:pPr>
        <w:spacing w:after="120"/>
        <w:ind w:left="180"/>
        <w:rPr>
          <w:rFonts w:ascii="Arial" w:hAnsi="Arial"/>
          <w:sz w:val="24"/>
          <w:szCs w:val="24"/>
        </w:rPr>
      </w:pPr>
      <w:r w:rsidRPr="004C227E">
        <w:rPr>
          <w:rFonts w:ascii="Arial" w:hAnsi="Arial"/>
          <w:sz w:val="24"/>
          <w:szCs w:val="24"/>
        </w:rPr>
        <w:t xml:space="preserve">This portion of the </w:t>
      </w:r>
      <w:r w:rsidR="00F83268" w:rsidRPr="004C227E">
        <w:rPr>
          <w:rFonts w:ascii="Arial" w:hAnsi="Arial"/>
          <w:sz w:val="24"/>
          <w:szCs w:val="24"/>
        </w:rPr>
        <w:t>ECTA</w:t>
      </w:r>
      <w:r w:rsidRPr="004C227E">
        <w:rPr>
          <w:rFonts w:ascii="Arial" w:hAnsi="Arial"/>
          <w:sz w:val="24"/>
          <w:szCs w:val="24"/>
        </w:rPr>
        <w:t xml:space="preserve"> </w:t>
      </w:r>
      <w:r w:rsidR="00F83268" w:rsidRPr="004C227E">
        <w:rPr>
          <w:rFonts w:ascii="Arial" w:hAnsi="Arial"/>
          <w:sz w:val="24"/>
          <w:szCs w:val="24"/>
        </w:rPr>
        <w:t>C</w:t>
      </w:r>
      <w:r w:rsidRPr="004C227E">
        <w:rPr>
          <w:rFonts w:ascii="Arial" w:hAnsi="Arial"/>
          <w:sz w:val="24"/>
          <w:szCs w:val="24"/>
        </w:rPr>
        <w:t>enter</w:t>
      </w:r>
      <w:r w:rsidR="00F83268" w:rsidRPr="004C227E">
        <w:rPr>
          <w:rFonts w:ascii="Arial" w:hAnsi="Arial"/>
          <w:sz w:val="24"/>
          <w:szCs w:val="24"/>
        </w:rPr>
        <w:t xml:space="preserve"> website provides a variety of national and state resources to support providers in writing quality IFSP outcomes.</w:t>
      </w:r>
      <w:bookmarkStart w:id="0" w:name="_GoBack"/>
      <w:bookmarkEnd w:id="0"/>
    </w:p>
    <w:p w14:paraId="0257BA87" w14:textId="77777777" w:rsidR="004B554A" w:rsidRDefault="004B554A">
      <w:pP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B554A" w:rsidRPr="00ED1E7F" w14:paraId="7B5DC620" w14:textId="77777777" w:rsidTr="00420D71">
        <w:tc>
          <w:tcPr>
            <w:tcW w:w="5148" w:type="dxa"/>
            <w:shd w:val="clear" w:color="auto" w:fill="auto"/>
            <w:vAlign w:val="center"/>
          </w:tcPr>
          <w:p w14:paraId="18AB95AC" w14:textId="77777777" w:rsidR="004B554A" w:rsidRPr="0050644B" w:rsidRDefault="004B554A" w:rsidP="00420D71">
            <w:pPr>
              <w:spacing w:after="0" w:line="240" w:lineRule="auto"/>
              <w:contextualSpacing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lastRenderedPageBreak/>
              <w:t xml:space="preserve">Resources </w:t>
            </w:r>
            <w:r w:rsidRPr="0050644B">
              <w:rPr>
                <w:rFonts w:ascii="Arial" w:hAnsi="Arial"/>
                <w:iCs/>
                <w:sz w:val="36"/>
                <w:szCs w:val="36"/>
              </w:rPr>
              <w:t>for</w:t>
            </w: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 Writing</w:t>
            </w:r>
          </w:p>
          <w:p w14:paraId="0999B6B0" w14:textId="77777777" w:rsidR="004B554A" w:rsidRDefault="004B554A" w:rsidP="00420D71">
            <w:pPr>
              <w:spacing w:after="0" w:line="240" w:lineRule="auto"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IFSPs </w:t>
            </w:r>
            <w:r w:rsidRPr="0050644B">
              <w:rPr>
                <w:rFonts w:ascii="Arial" w:hAnsi="Arial"/>
                <w:iCs/>
                <w:sz w:val="36"/>
                <w:szCs w:val="36"/>
              </w:rPr>
              <w:t>and</w:t>
            </w:r>
            <w:r w:rsidRPr="0050644B">
              <w:rPr>
                <w:rFonts w:ascii="Arial" w:hAnsi="Arial"/>
                <w:b/>
                <w:iCs/>
                <w:sz w:val="36"/>
                <w:szCs w:val="36"/>
              </w:rPr>
              <w:t xml:space="preserve"> IEPs</w:t>
            </w:r>
          </w:p>
          <w:p w14:paraId="69023130" w14:textId="77777777" w:rsidR="004B554A" w:rsidRPr="0050644B" w:rsidRDefault="004B554A" w:rsidP="00420D71">
            <w:pPr>
              <w:spacing w:before="120" w:after="0" w:line="240" w:lineRule="auto"/>
              <w:outlineLvl w:val="0"/>
              <w:rPr>
                <w:rFonts w:ascii="Arial" w:hAnsi="Arial"/>
                <w:i/>
                <w:iCs/>
                <w:sz w:val="24"/>
                <w:szCs w:val="24"/>
              </w:rPr>
            </w:pPr>
            <w:proofErr w:type="gramStart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>updated</w:t>
            </w:r>
            <w:proofErr w:type="gramEnd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 xml:space="preserve"> May 2014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425E192" w14:textId="77777777" w:rsidR="004B554A" w:rsidRPr="00ED1E7F" w:rsidRDefault="004B554A" w:rsidP="00420D71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786C36B" wp14:editId="6803BB35">
                  <wp:extent cx="3073400" cy="482600"/>
                  <wp:effectExtent l="0" t="0" r="0" b="0"/>
                  <wp:docPr id="1" name="Picture 1" descr="ectacente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tacente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B5D6F" w14:textId="77777777" w:rsidR="004B554A" w:rsidRPr="00ED1E7F" w:rsidRDefault="004B554A" w:rsidP="00420D71">
            <w:pPr>
              <w:spacing w:after="0"/>
              <w:jc w:val="center"/>
              <w:rPr>
                <w:rFonts w:cs="Arial"/>
                <w:bCs/>
              </w:rPr>
            </w:pPr>
            <w:r w:rsidRPr="00ED1E7F">
              <w:rPr>
                <w:rFonts w:cs="Arial"/>
                <w:bCs/>
              </w:rPr>
              <w:t>The Early Childhood Technical Assistance Center</w:t>
            </w:r>
          </w:p>
          <w:p w14:paraId="424C1210" w14:textId="77777777" w:rsidR="004B554A" w:rsidRPr="00ED1E7F" w:rsidRDefault="004B554A" w:rsidP="00420D71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ED1E7F">
              <w:rPr>
                <w:rFonts w:cs="Arial"/>
                <w:bCs/>
                <w:i/>
              </w:rPr>
              <w:t>Improving Systems, Practices and Outcomes</w:t>
            </w:r>
          </w:p>
        </w:tc>
      </w:tr>
    </w:tbl>
    <w:p w14:paraId="7231CA33" w14:textId="77777777" w:rsidR="004B554A" w:rsidRPr="004B554A" w:rsidRDefault="004B554A" w:rsidP="00FA4181">
      <w:pPr>
        <w:pBdr>
          <w:bottom w:val="dotted" w:sz="4" w:space="1" w:color="auto"/>
        </w:pBdr>
        <w:spacing w:after="120" w:line="240" w:lineRule="auto"/>
        <w:outlineLvl w:val="0"/>
        <w:rPr>
          <w:rFonts w:ascii="Arial" w:hAnsi="Arial"/>
          <w:b/>
          <w:sz w:val="28"/>
          <w:szCs w:val="28"/>
        </w:rPr>
      </w:pPr>
    </w:p>
    <w:p w14:paraId="4324DBD9" w14:textId="515D461D" w:rsidR="009E366B" w:rsidRPr="004B554A" w:rsidRDefault="00F77640" w:rsidP="00FA4181">
      <w:pPr>
        <w:pBdr>
          <w:bottom w:val="dotted" w:sz="4" w:space="1" w:color="auto"/>
        </w:pBdr>
        <w:spacing w:after="120" w:line="240" w:lineRule="auto"/>
        <w:outlineLvl w:val="0"/>
        <w:rPr>
          <w:rFonts w:ascii="Arial" w:hAnsi="Arial"/>
          <w:b/>
          <w:sz w:val="28"/>
          <w:szCs w:val="28"/>
        </w:rPr>
      </w:pPr>
      <w:r w:rsidRPr="004B554A">
        <w:rPr>
          <w:rFonts w:ascii="Arial" w:hAnsi="Arial"/>
          <w:b/>
          <w:sz w:val="28"/>
          <w:szCs w:val="28"/>
        </w:rPr>
        <w:t xml:space="preserve">Resources for </w:t>
      </w:r>
      <w:r w:rsidR="00053A9B" w:rsidRPr="004B554A">
        <w:rPr>
          <w:rFonts w:ascii="Arial" w:hAnsi="Arial"/>
          <w:b/>
          <w:sz w:val="28"/>
          <w:szCs w:val="28"/>
        </w:rPr>
        <w:t xml:space="preserve">Writing </w:t>
      </w:r>
      <w:r w:rsidR="009E366B" w:rsidRPr="004B554A">
        <w:rPr>
          <w:rFonts w:ascii="Arial" w:hAnsi="Arial"/>
          <w:b/>
          <w:sz w:val="28"/>
          <w:szCs w:val="28"/>
        </w:rPr>
        <w:t>IEP</w:t>
      </w:r>
      <w:r w:rsidRPr="004B554A">
        <w:rPr>
          <w:rFonts w:ascii="Arial" w:hAnsi="Arial"/>
          <w:b/>
          <w:sz w:val="28"/>
          <w:szCs w:val="28"/>
        </w:rPr>
        <w:t>s</w:t>
      </w:r>
    </w:p>
    <w:p w14:paraId="63AF719B" w14:textId="4A9DFD87" w:rsidR="00E75983" w:rsidRPr="004C227E" w:rsidRDefault="00F77640" w:rsidP="00692FBB">
      <w:pPr>
        <w:pStyle w:val="Default"/>
        <w:spacing w:line="276" w:lineRule="auto"/>
        <w:ind w:right="-540"/>
        <w:rPr>
          <w:rFonts w:cstheme="minorHAnsi"/>
          <w:color w:val="auto"/>
        </w:rPr>
      </w:pPr>
      <w:r w:rsidRPr="004C227E">
        <w:rPr>
          <w:rFonts w:cstheme="minorHAnsi"/>
          <w:b/>
          <w:i/>
          <w:color w:val="auto"/>
        </w:rPr>
        <w:t xml:space="preserve">Key </w:t>
      </w:r>
      <w:r w:rsidR="00C82A4D" w:rsidRPr="004C227E">
        <w:rPr>
          <w:rFonts w:cstheme="minorHAnsi"/>
          <w:b/>
          <w:i/>
          <w:color w:val="auto"/>
        </w:rPr>
        <w:t>Practices</w:t>
      </w:r>
      <w:r w:rsidRPr="004C227E">
        <w:rPr>
          <w:rFonts w:cstheme="minorHAnsi"/>
          <w:b/>
          <w:i/>
          <w:color w:val="auto"/>
        </w:rPr>
        <w:t xml:space="preserve"> Underlying the IEP Process: Supporting Family Participation, Inclusive Practices and Positive Outcomes for Preschool Children with Disabilities:</w:t>
      </w:r>
      <w:r w:rsidRPr="004C227E">
        <w:rPr>
          <w:rFonts w:cstheme="minorHAnsi"/>
          <w:color w:val="auto"/>
        </w:rPr>
        <w:t xml:space="preserve"> </w:t>
      </w:r>
      <w:hyperlink r:id="rId12" w:history="1">
        <w:r w:rsidR="00692FBB" w:rsidRPr="004C227E">
          <w:rPr>
            <w:rStyle w:val="Hyperlink"/>
            <w:rFonts w:cstheme="minorHAnsi"/>
            <w:color w:val="auto"/>
            <w:u w:val="none"/>
          </w:rPr>
          <w:t>http://ectacenter.org/~pdfs/knowledgepath/ifspoutcomes-iepgoals/Key_Practices_IEP_Process.pdf</w:t>
        </w:r>
      </w:hyperlink>
      <w:r w:rsidR="00053A9B" w:rsidRPr="004C227E">
        <w:rPr>
          <w:rFonts w:cstheme="minorHAnsi"/>
          <w:color w:val="auto"/>
        </w:rPr>
        <w:t xml:space="preserve"> </w:t>
      </w:r>
    </w:p>
    <w:p w14:paraId="0A2BE60A" w14:textId="663061C7" w:rsidR="00F7012B" w:rsidRPr="004C227E" w:rsidRDefault="00F77640" w:rsidP="004B554A">
      <w:pPr>
        <w:pStyle w:val="Default"/>
        <w:spacing w:after="120" w:line="276" w:lineRule="auto"/>
        <w:ind w:left="180"/>
        <w:rPr>
          <w:rFonts w:cstheme="minorHAnsi"/>
          <w:color w:val="auto"/>
        </w:rPr>
      </w:pPr>
      <w:r w:rsidRPr="004C227E">
        <w:rPr>
          <w:rFonts w:cstheme="minorHAnsi"/>
          <w:color w:val="auto"/>
        </w:rPr>
        <w:t>This</w:t>
      </w:r>
      <w:r w:rsidR="00AF6DF2" w:rsidRPr="004C227E">
        <w:rPr>
          <w:rFonts w:cstheme="minorHAnsi"/>
          <w:color w:val="auto"/>
        </w:rPr>
        <w:t xml:space="preserve"> document highlight</w:t>
      </w:r>
      <w:r w:rsidR="00F7012B" w:rsidRPr="004C227E">
        <w:rPr>
          <w:rFonts w:cstheme="minorHAnsi"/>
          <w:color w:val="auto"/>
        </w:rPr>
        <w:t>s</w:t>
      </w:r>
      <w:r w:rsidR="00AF6DF2" w:rsidRPr="004C227E">
        <w:rPr>
          <w:rFonts w:cstheme="minorHAnsi"/>
          <w:color w:val="auto"/>
        </w:rPr>
        <w:t xml:space="preserve"> practices supporting children with disabilities and their families as they access IDEA services, from first contact to development of the Individualized Education Program </w:t>
      </w:r>
      <w:r w:rsidRPr="004C227E">
        <w:rPr>
          <w:rFonts w:cstheme="minorHAnsi"/>
          <w:color w:val="auto"/>
        </w:rPr>
        <w:t>(</w:t>
      </w:r>
      <w:r w:rsidR="00AF6DF2" w:rsidRPr="004C227E">
        <w:rPr>
          <w:rFonts w:cstheme="minorHAnsi"/>
          <w:color w:val="auto"/>
        </w:rPr>
        <w:t>IEP).</w:t>
      </w:r>
      <w:r w:rsidR="00FA4181" w:rsidRPr="004C227E">
        <w:rPr>
          <w:rFonts w:cstheme="minorHAnsi"/>
          <w:color w:val="auto"/>
        </w:rPr>
        <w:t xml:space="preserve"> </w:t>
      </w:r>
      <w:r w:rsidR="00F7012B" w:rsidRPr="004C227E">
        <w:rPr>
          <w:rFonts w:cstheme="minorHAnsi"/>
          <w:color w:val="auto"/>
        </w:rPr>
        <w:t xml:space="preserve">The </w:t>
      </w:r>
      <w:r w:rsidR="00AF6DF2" w:rsidRPr="004C227E">
        <w:rPr>
          <w:rFonts w:cstheme="minorHAnsi"/>
          <w:color w:val="auto"/>
        </w:rPr>
        <w:t>document refl</w:t>
      </w:r>
      <w:r w:rsidR="00F7012B" w:rsidRPr="004C227E">
        <w:rPr>
          <w:rFonts w:cstheme="minorHAnsi"/>
          <w:color w:val="auto"/>
        </w:rPr>
        <w:t>ects</w:t>
      </w:r>
      <w:r w:rsidR="00AF6DF2" w:rsidRPr="004C227E">
        <w:rPr>
          <w:rFonts w:cstheme="minorHAnsi"/>
          <w:color w:val="auto"/>
        </w:rPr>
        <w:t xml:space="preserve"> required and quality practices, and is a companion paper to </w:t>
      </w:r>
      <w:hyperlink r:id="rId13" w:history="1">
        <w:r w:rsidR="00AF6DF2" w:rsidRPr="004C227E">
          <w:rPr>
            <w:rStyle w:val="Hyperlink"/>
            <w:rFonts w:cstheme="minorHAnsi"/>
            <w:i/>
            <w:color w:val="auto"/>
            <w:u w:val="none"/>
          </w:rPr>
          <w:t>Agreed upon Practices for Providing Early Intervention Services in Natural Environments</w:t>
        </w:r>
      </w:hyperlink>
      <w:r w:rsidR="00053A9B" w:rsidRPr="004C227E">
        <w:rPr>
          <w:rFonts w:cstheme="minorHAnsi"/>
          <w:color w:val="auto"/>
        </w:rPr>
        <w:t xml:space="preserve">: </w:t>
      </w:r>
      <w:hyperlink r:id="rId14" w:history="1">
        <w:r w:rsidR="00692FBB" w:rsidRPr="004C227E">
          <w:rPr>
            <w:rStyle w:val="Hyperlink"/>
            <w:rFonts w:cstheme="minorHAnsi"/>
            <w:color w:val="auto"/>
            <w:u w:val="none"/>
          </w:rPr>
          <w:t>http://ectacenter.org/~pdfs/topics/families/AgreedUponPractices_FinalDraft2_01_08.pdf</w:t>
        </w:r>
      </w:hyperlink>
      <w:r w:rsidR="00053A9B" w:rsidRPr="004C227E">
        <w:rPr>
          <w:rFonts w:cstheme="minorHAnsi"/>
          <w:color w:val="auto"/>
        </w:rPr>
        <w:t xml:space="preserve"> </w:t>
      </w:r>
    </w:p>
    <w:p w14:paraId="34F8A34C" w14:textId="77777777" w:rsidR="00E75983" w:rsidRPr="004C227E" w:rsidRDefault="00F7012B" w:rsidP="004B554A">
      <w:pPr>
        <w:pStyle w:val="Default"/>
        <w:spacing w:line="276" w:lineRule="auto"/>
        <w:rPr>
          <w:color w:val="auto"/>
        </w:rPr>
      </w:pPr>
      <w:r w:rsidRPr="004C227E">
        <w:rPr>
          <w:b/>
          <w:i/>
          <w:color w:val="auto"/>
        </w:rPr>
        <w:t>Contents of the IEP</w:t>
      </w:r>
      <w:r w:rsidRPr="004C227E">
        <w:rPr>
          <w:b/>
          <w:color w:val="auto"/>
        </w:rPr>
        <w:t xml:space="preserve"> </w:t>
      </w:r>
      <w:r w:rsidR="00611FD1" w:rsidRPr="004C227E">
        <w:rPr>
          <w:b/>
          <w:color w:val="auto"/>
        </w:rPr>
        <w:t>(2000, archived):</w:t>
      </w:r>
      <w:r w:rsidR="00611FD1" w:rsidRPr="004C227E">
        <w:rPr>
          <w:color w:val="auto"/>
        </w:rPr>
        <w:t xml:space="preserve"> </w:t>
      </w:r>
      <w:hyperlink r:id="rId15" w:history="1">
        <w:r w:rsidR="00611FD1" w:rsidRPr="004C227E">
          <w:rPr>
            <w:rStyle w:val="Hyperlink"/>
            <w:color w:val="auto"/>
            <w:u w:val="none"/>
          </w:rPr>
          <w:t>http://www2.ed.gov/parents/needs/speced/iepguide/index.html#contents</w:t>
        </w:r>
      </w:hyperlink>
    </w:p>
    <w:p w14:paraId="5124B784" w14:textId="419D7D5D" w:rsidR="00B84E5E" w:rsidRPr="004C227E" w:rsidRDefault="00B84E5E" w:rsidP="004B554A">
      <w:pPr>
        <w:spacing w:after="120"/>
        <w:ind w:left="180"/>
        <w:rPr>
          <w:rFonts w:ascii="Arial" w:hAnsi="Arial"/>
          <w:sz w:val="24"/>
          <w:szCs w:val="24"/>
        </w:rPr>
      </w:pPr>
      <w:r w:rsidRPr="004C227E">
        <w:rPr>
          <w:rFonts w:ascii="Arial" w:hAnsi="Arial"/>
          <w:sz w:val="24"/>
          <w:szCs w:val="24"/>
        </w:rPr>
        <w:t xml:space="preserve">This guidance </w:t>
      </w:r>
      <w:r w:rsidR="00282CC1" w:rsidRPr="004C227E">
        <w:rPr>
          <w:rFonts w:ascii="Arial" w:hAnsi="Arial"/>
          <w:sz w:val="24"/>
          <w:szCs w:val="24"/>
        </w:rPr>
        <w:t xml:space="preserve">explains the IEP process and </w:t>
      </w:r>
      <w:r w:rsidRPr="004C227E">
        <w:rPr>
          <w:rFonts w:ascii="Arial" w:hAnsi="Arial"/>
          <w:sz w:val="24"/>
          <w:szCs w:val="24"/>
        </w:rPr>
        <w:t>assists educators, parents, and state and local educational agencies in implementing the requirements of Part B of the Individuals with Disabilities Education Act (IDEA) regarding Individualized Education Programs (IEPs) for children with disabilities, including preschool-aged children.</w:t>
      </w:r>
      <w:r w:rsidR="00FA4181" w:rsidRPr="004C227E">
        <w:rPr>
          <w:rFonts w:ascii="Arial" w:hAnsi="Arial"/>
          <w:sz w:val="24"/>
          <w:szCs w:val="24"/>
        </w:rPr>
        <w:t xml:space="preserve"> </w:t>
      </w:r>
    </w:p>
    <w:p w14:paraId="087CA1FB" w14:textId="7BA1A8D1" w:rsidR="00E75983" w:rsidRPr="004C227E" w:rsidRDefault="00F77640" w:rsidP="004B554A">
      <w:pPr>
        <w:pStyle w:val="Default"/>
        <w:spacing w:line="276" w:lineRule="auto"/>
        <w:rPr>
          <w:rFonts w:cstheme="minorHAnsi"/>
          <w:color w:val="auto"/>
        </w:rPr>
      </w:pPr>
      <w:r w:rsidRPr="004C227E">
        <w:rPr>
          <w:rFonts w:cstheme="minorHAnsi"/>
          <w:b/>
          <w:i/>
          <w:color w:val="auto"/>
        </w:rPr>
        <w:t>OSEP</w:t>
      </w:r>
      <w:r w:rsidR="00C02D83" w:rsidRPr="004C227E">
        <w:rPr>
          <w:rFonts w:cstheme="minorHAnsi"/>
          <w:b/>
          <w:i/>
          <w:color w:val="auto"/>
        </w:rPr>
        <w:t xml:space="preserve"> M</w:t>
      </w:r>
      <w:r w:rsidR="00F7012B" w:rsidRPr="004C227E">
        <w:rPr>
          <w:rFonts w:cstheme="minorHAnsi"/>
          <w:b/>
          <w:i/>
          <w:color w:val="auto"/>
        </w:rPr>
        <w:t>odel IEP forms</w:t>
      </w:r>
      <w:r w:rsidRPr="004C227E">
        <w:rPr>
          <w:rFonts w:cstheme="minorHAnsi"/>
          <w:b/>
          <w:i/>
          <w:color w:val="auto"/>
        </w:rPr>
        <w:t>:</w:t>
      </w:r>
      <w:r w:rsidRPr="004C227E">
        <w:rPr>
          <w:color w:val="auto"/>
        </w:rPr>
        <w:t xml:space="preserve"> </w:t>
      </w:r>
      <w:hyperlink r:id="rId16" w:history="1">
        <w:r w:rsidRPr="004C227E">
          <w:rPr>
            <w:rStyle w:val="Hyperlink"/>
            <w:rFonts w:cstheme="minorHAnsi"/>
            <w:color w:val="auto"/>
            <w:u w:val="none"/>
          </w:rPr>
          <w:t>http://www2.ed.gov/policy/speced/guid/idea/modelform-iep.pdf</w:t>
        </w:r>
      </w:hyperlink>
    </w:p>
    <w:p w14:paraId="2AF0E5DB" w14:textId="305EC292" w:rsidR="00C47A70" w:rsidRPr="004C227E" w:rsidRDefault="00F77640" w:rsidP="004B554A">
      <w:pPr>
        <w:pStyle w:val="Default"/>
        <w:spacing w:after="120" w:line="276" w:lineRule="auto"/>
        <w:ind w:left="180"/>
        <w:rPr>
          <w:rFonts w:cstheme="minorHAnsi"/>
          <w:color w:val="auto"/>
        </w:rPr>
      </w:pPr>
      <w:proofErr w:type="gramStart"/>
      <w:r w:rsidRPr="004C227E">
        <w:rPr>
          <w:rFonts w:cstheme="minorHAnsi"/>
          <w:color w:val="auto"/>
        </w:rPr>
        <w:t>This model form is</w:t>
      </w:r>
      <w:r w:rsidR="00B320A5" w:rsidRPr="004C227E">
        <w:rPr>
          <w:rFonts w:cstheme="minorHAnsi"/>
          <w:color w:val="auto"/>
        </w:rPr>
        <w:t xml:space="preserve"> provided by </w:t>
      </w:r>
      <w:r w:rsidRPr="004C227E">
        <w:rPr>
          <w:rFonts w:cstheme="minorHAnsi"/>
          <w:color w:val="auto"/>
        </w:rPr>
        <w:t xml:space="preserve">the </w:t>
      </w:r>
      <w:r w:rsidR="00282CC1" w:rsidRPr="004C227E">
        <w:rPr>
          <w:rFonts w:cstheme="minorHAnsi"/>
          <w:color w:val="auto"/>
        </w:rPr>
        <w:t>Office of Special Education Programs (OSE</w:t>
      </w:r>
      <w:r w:rsidR="00B320A5" w:rsidRPr="004C227E">
        <w:rPr>
          <w:rFonts w:cstheme="minorHAnsi"/>
          <w:color w:val="auto"/>
        </w:rPr>
        <w:t>P)</w:t>
      </w:r>
      <w:proofErr w:type="gramEnd"/>
      <w:r w:rsidR="00B320A5" w:rsidRPr="004C227E">
        <w:rPr>
          <w:rFonts w:cstheme="minorHAnsi"/>
          <w:color w:val="auto"/>
        </w:rPr>
        <w:t xml:space="preserve">. The Individualized Education Program (IEP) is a written document that is developed for each eligible child with a disability. The Part B regulations specify, at 34 CFR §§300.320-300.328, the procedures that school districts must follow to develop, review, and revise the IEP for each child. </w:t>
      </w:r>
      <w:r w:rsidR="00C47A70" w:rsidRPr="004C227E">
        <w:rPr>
          <w:rFonts w:cstheme="minorHAnsi"/>
          <w:color w:val="auto"/>
        </w:rPr>
        <w:t xml:space="preserve">The </w:t>
      </w:r>
      <w:r w:rsidR="00B320A5" w:rsidRPr="004C227E">
        <w:rPr>
          <w:rFonts w:cstheme="minorHAnsi"/>
          <w:color w:val="auto"/>
        </w:rPr>
        <w:t xml:space="preserve">IEP content </w:t>
      </w:r>
      <w:r w:rsidR="00C47A70" w:rsidRPr="004C227E">
        <w:rPr>
          <w:rFonts w:cstheme="minorHAnsi"/>
          <w:color w:val="auto"/>
        </w:rPr>
        <w:t xml:space="preserve">that </w:t>
      </w:r>
      <w:r w:rsidR="00B320A5" w:rsidRPr="004C227E">
        <w:rPr>
          <w:rFonts w:cstheme="minorHAnsi"/>
          <w:color w:val="auto"/>
        </w:rPr>
        <w:t>regul</w:t>
      </w:r>
      <w:r w:rsidR="00C47A70" w:rsidRPr="004C227E">
        <w:rPr>
          <w:rFonts w:cstheme="minorHAnsi"/>
          <w:color w:val="auto"/>
        </w:rPr>
        <w:t>ations require, and special factors to consider are also explained within</w:t>
      </w:r>
      <w:r w:rsidR="00FA4181" w:rsidRPr="004C227E">
        <w:rPr>
          <w:rFonts w:cstheme="minorHAnsi"/>
          <w:color w:val="auto"/>
        </w:rPr>
        <w:t>:</w:t>
      </w:r>
      <w:r w:rsidR="00C47A70" w:rsidRPr="004C227E">
        <w:rPr>
          <w:rFonts w:cstheme="minorHAnsi"/>
          <w:color w:val="auto"/>
        </w:rPr>
        <w:t xml:space="preserve"> </w:t>
      </w:r>
      <w:hyperlink r:id="rId17" w:history="1">
        <w:r w:rsidR="00F7012B" w:rsidRPr="004C227E">
          <w:rPr>
            <w:rStyle w:val="Hyperlink"/>
            <w:rFonts w:cstheme="minorHAnsi"/>
            <w:color w:val="auto"/>
            <w:u w:val="none"/>
          </w:rPr>
          <w:t>http://www2.ed.gov/parents/needs/speced/iepguide/index.html#contents</w:t>
        </w:r>
      </w:hyperlink>
    </w:p>
    <w:p w14:paraId="5CB5CC3A" w14:textId="77777777" w:rsidR="00F858C1" w:rsidRPr="004C227E" w:rsidRDefault="00C47A70" w:rsidP="00F858C1">
      <w:pPr>
        <w:pStyle w:val="Default"/>
        <w:spacing w:line="276" w:lineRule="auto"/>
        <w:rPr>
          <w:rStyle w:val="Hyperlink"/>
          <w:rFonts w:cstheme="minorHAnsi"/>
          <w:color w:val="auto"/>
          <w:u w:val="none"/>
        </w:rPr>
      </w:pPr>
      <w:r w:rsidRPr="004C227E">
        <w:rPr>
          <w:rFonts w:cstheme="minorHAnsi"/>
          <w:b/>
          <w:bCs/>
          <w:i/>
          <w:iCs/>
          <w:color w:val="auto"/>
        </w:rPr>
        <w:t>A Guide to Writing IEPs (2010)</w:t>
      </w:r>
      <w:r w:rsidR="00053A9B" w:rsidRPr="004C227E">
        <w:rPr>
          <w:rFonts w:cstheme="minorHAnsi"/>
          <w:b/>
          <w:bCs/>
          <w:i/>
          <w:iCs/>
          <w:color w:val="auto"/>
        </w:rPr>
        <w:t>:</w:t>
      </w:r>
      <w:r w:rsidR="00053A9B" w:rsidRPr="004C227E">
        <w:rPr>
          <w:rFonts w:cstheme="minorHAnsi"/>
          <w:bCs/>
          <w:i/>
          <w:iCs/>
          <w:color w:val="auto"/>
        </w:rPr>
        <w:t xml:space="preserve"> </w:t>
      </w:r>
      <w:hyperlink r:id="rId18" w:history="1">
        <w:r w:rsidRPr="004C227E">
          <w:rPr>
            <w:rStyle w:val="Hyperlink"/>
            <w:rFonts w:cstheme="minorHAnsi"/>
            <w:bCs/>
            <w:iCs/>
            <w:color w:val="auto"/>
            <w:u w:val="none"/>
          </w:rPr>
          <w:t>http://dpi.state.wi.us/sped/pdf/iepguide.pdf</w:t>
        </w:r>
      </w:hyperlink>
      <w:r w:rsidRPr="004C227E">
        <w:rPr>
          <w:rFonts w:cstheme="minorHAnsi"/>
          <w:bCs/>
          <w:iCs/>
          <w:color w:val="auto"/>
        </w:rPr>
        <w:t xml:space="preserve"> and </w:t>
      </w:r>
      <w:r w:rsidR="00F77640" w:rsidRPr="004C227E">
        <w:rPr>
          <w:rFonts w:cstheme="minorHAnsi"/>
          <w:bCs/>
          <w:iCs/>
          <w:color w:val="auto"/>
        </w:rPr>
        <w:t xml:space="preserve">the </w:t>
      </w:r>
      <w:r w:rsidR="00F7012B" w:rsidRPr="004C227E">
        <w:rPr>
          <w:rFonts w:cstheme="minorHAnsi"/>
          <w:b/>
          <w:i/>
          <w:color w:val="auto"/>
        </w:rPr>
        <w:t xml:space="preserve">Wisconsin Guide to Connecting Academic Standards and IEPs </w:t>
      </w:r>
      <w:r w:rsidRPr="004C227E">
        <w:rPr>
          <w:rFonts w:cstheme="minorHAnsi"/>
          <w:b/>
          <w:i/>
          <w:color w:val="auto"/>
        </w:rPr>
        <w:t>(2009)</w:t>
      </w:r>
      <w:r w:rsidR="00FA4181" w:rsidRPr="004C227E">
        <w:rPr>
          <w:rFonts w:cstheme="minorHAnsi"/>
          <w:b/>
          <w:i/>
          <w:color w:val="auto"/>
        </w:rPr>
        <w:t>:</w:t>
      </w:r>
      <w:r w:rsidRPr="004C227E">
        <w:rPr>
          <w:rFonts w:cstheme="minorHAnsi"/>
          <w:color w:val="auto"/>
        </w:rPr>
        <w:t xml:space="preserve"> </w:t>
      </w:r>
      <w:hyperlink r:id="rId19" w:history="1">
        <w:r w:rsidR="00F77640" w:rsidRPr="004C227E">
          <w:rPr>
            <w:rStyle w:val="Hyperlink"/>
            <w:rFonts w:cstheme="minorHAnsi"/>
            <w:color w:val="auto"/>
            <w:u w:val="none"/>
          </w:rPr>
          <w:t>http://dpi.state.wi.us/sped/pdf/iepstandardsguide.pdf</w:t>
        </w:r>
      </w:hyperlink>
      <w:r w:rsidRPr="004C227E">
        <w:rPr>
          <w:rStyle w:val="Hyperlink"/>
          <w:rFonts w:cstheme="minorHAnsi"/>
          <w:color w:val="auto"/>
          <w:u w:val="none"/>
        </w:rPr>
        <w:t xml:space="preserve"> </w:t>
      </w:r>
    </w:p>
    <w:p w14:paraId="76AEC731" w14:textId="4568BF69" w:rsidR="009E366B" w:rsidRPr="004C227E" w:rsidRDefault="00F858C1" w:rsidP="00F858C1">
      <w:pPr>
        <w:pStyle w:val="Default"/>
        <w:spacing w:after="120" w:line="276" w:lineRule="auto"/>
        <w:ind w:left="180"/>
        <w:rPr>
          <w:color w:val="auto"/>
        </w:rPr>
      </w:pPr>
      <w:r w:rsidRPr="004C227E">
        <w:rPr>
          <w:rStyle w:val="Hyperlink"/>
          <w:rFonts w:cstheme="minorHAnsi"/>
          <w:color w:val="auto"/>
          <w:u w:val="none"/>
        </w:rPr>
        <w:t>T</w:t>
      </w:r>
      <w:r w:rsidR="00AF6DF2" w:rsidRPr="004C227E">
        <w:rPr>
          <w:rStyle w:val="Hyperlink"/>
          <w:rFonts w:cstheme="minorHAnsi"/>
          <w:color w:val="auto"/>
          <w:u w:val="none"/>
        </w:rPr>
        <w:t>wo examples of</w:t>
      </w:r>
      <w:r w:rsidR="00AF6DF2" w:rsidRPr="004C227E">
        <w:rPr>
          <w:rFonts w:cstheme="minorHAnsi"/>
          <w:bCs/>
          <w:iCs/>
          <w:color w:val="auto"/>
        </w:rPr>
        <w:t xml:space="preserve"> state guidance </w:t>
      </w:r>
      <w:r w:rsidR="00AF6DF2" w:rsidRPr="004C227E">
        <w:rPr>
          <w:rFonts w:cstheme="minorHAnsi"/>
          <w:color w:val="auto"/>
        </w:rPr>
        <w:t>based on the Individuals with Disabilities Education Act (IDEA 2004) and Chapter 115 of the Wisconsin Statutes and corresponding regulation. The documents highlight required components of the IEP, guiding</w:t>
      </w:r>
      <w:r w:rsidR="00C47A70" w:rsidRPr="004C227E">
        <w:rPr>
          <w:rFonts w:cstheme="minorHAnsi"/>
          <w:color w:val="auto"/>
        </w:rPr>
        <w:t xml:space="preserve"> questions, descriptions and several </w:t>
      </w:r>
      <w:r w:rsidR="00AF6DF2" w:rsidRPr="004C227E">
        <w:rPr>
          <w:rFonts w:cstheme="minorHAnsi"/>
          <w:color w:val="auto"/>
        </w:rPr>
        <w:t>exemplars.</w:t>
      </w:r>
      <w:r w:rsidR="00AF6DF2" w:rsidRPr="004C227E">
        <w:rPr>
          <w:color w:val="auto"/>
        </w:rPr>
        <w:t xml:space="preserve"> </w:t>
      </w:r>
    </w:p>
    <w:sectPr w:rsidR="009E366B" w:rsidRPr="004C227E" w:rsidSect="00053A9B">
      <w:footerReference w:type="defaul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8A34" w14:textId="77777777" w:rsidR="007E6E69" w:rsidRDefault="007E6E69" w:rsidP="007E6E69">
      <w:pPr>
        <w:spacing w:after="0" w:line="240" w:lineRule="auto"/>
      </w:pPr>
      <w:r>
        <w:separator/>
      </w:r>
    </w:p>
  </w:endnote>
  <w:endnote w:type="continuationSeparator" w:id="0">
    <w:p w14:paraId="25676EA1" w14:textId="77777777" w:rsidR="007E6E69" w:rsidRDefault="007E6E69" w:rsidP="007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846D" w14:textId="3A9B8573" w:rsidR="007E6E69" w:rsidRPr="0050644B" w:rsidRDefault="007E6E69" w:rsidP="0050644B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szCs w:val="20"/>
      </w:rPr>
    </w:pPr>
    <w:r w:rsidRPr="0050644B">
      <w:rPr>
        <w:rFonts w:ascii="Arial" w:hAnsi="Arial" w:cs="Arial"/>
        <w:sz w:val="20"/>
        <w:szCs w:val="20"/>
      </w:rPr>
      <w:t xml:space="preserve">This document </w:t>
    </w:r>
    <w:r w:rsidR="009D5ECD">
      <w:rPr>
        <w:rFonts w:ascii="Arial" w:hAnsi="Arial" w:cs="Arial"/>
        <w:sz w:val="20"/>
        <w:szCs w:val="20"/>
      </w:rPr>
      <w:t>is available online at</w:t>
    </w:r>
    <w:r w:rsidRPr="0050644B">
      <w:rPr>
        <w:rFonts w:ascii="Arial" w:hAnsi="Arial" w:cs="Arial"/>
        <w:sz w:val="20"/>
        <w:szCs w:val="20"/>
      </w:rPr>
      <w:t xml:space="preserve">: </w:t>
    </w:r>
  </w:p>
  <w:p w14:paraId="545D9AE7" w14:textId="1B39F12A" w:rsidR="007E6E69" w:rsidRPr="0050644B" w:rsidRDefault="004C227E" w:rsidP="0050644B">
    <w:pPr>
      <w:pStyle w:val="Footer"/>
      <w:rPr>
        <w:rFonts w:ascii="Arial" w:hAnsi="Arial" w:cs="Arial"/>
        <w:sz w:val="20"/>
        <w:szCs w:val="20"/>
      </w:rPr>
    </w:pPr>
    <w:hyperlink r:id="rId1" w:history="1">
      <w:r w:rsidR="00692F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http://ectacenter.org/~pdfs/knowledgepath/ifspoutcomes-iepgoals/Resources_Writing_IFSPs_IEPs.pdf</w:t>
      </w:r>
    </w:hyperlink>
    <w:r w:rsidR="007E6E69" w:rsidRPr="0050644B">
      <w:rPr>
        <w:rFonts w:ascii="Arial" w:hAnsi="Arial" w:cs="Arial"/>
        <w:sz w:val="20"/>
        <w:szCs w:val="20"/>
      </w:rPr>
      <w:t xml:space="preserve"> </w:t>
    </w:r>
  </w:p>
  <w:p w14:paraId="16933D09" w14:textId="77777777" w:rsidR="0050644B" w:rsidRPr="0050644B" w:rsidRDefault="0050644B" w:rsidP="0050644B">
    <w:pPr>
      <w:spacing w:after="0"/>
      <w:rPr>
        <w:rFonts w:ascii="Arial" w:hAnsi="Arial" w:cs="Arial"/>
        <w:sz w:val="12"/>
        <w:szCs w:val="12"/>
      </w:rPr>
    </w:pPr>
  </w:p>
  <w:p w14:paraId="5511BF79" w14:textId="77777777" w:rsidR="0050644B" w:rsidRPr="0050644B" w:rsidRDefault="0050644B" w:rsidP="0050644B">
    <w:pPr>
      <w:spacing w:after="0"/>
      <w:rPr>
        <w:rFonts w:ascii="Arial" w:hAnsi="Arial" w:cs="Arial"/>
        <w:sz w:val="20"/>
        <w:szCs w:val="20"/>
      </w:rPr>
    </w:pPr>
    <w:r w:rsidRPr="0050644B">
      <w:rPr>
        <w:rFonts w:ascii="Arial" w:hAnsi="Arial" w:cs="Arial"/>
        <w:sz w:val="20"/>
        <w:szCs w:val="20"/>
      </w:rPr>
      <w:t xml:space="preserve">It also appears as a part of the ECTA Center’s </w:t>
    </w:r>
    <w:r w:rsidRPr="0050644B">
      <w:rPr>
        <w:rFonts w:ascii="Arial" w:hAnsi="Arial" w:cs="Arial"/>
        <w:i/>
        <w:sz w:val="20"/>
        <w:szCs w:val="20"/>
      </w:rPr>
      <w:t>Developing High-Quality, Functional IFSP Outcomes and IEP Goals Training Package</w:t>
    </w:r>
    <w:r w:rsidRPr="0050644B">
      <w:rPr>
        <w:rFonts w:ascii="Arial" w:hAnsi="Arial" w:cs="Arial"/>
        <w:sz w:val="20"/>
        <w:szCs w:val="20"/>
      </w:rPr>
      <w:t xml:space="preserve"> at:</w:t>
    </w:r>
  </w:p>
  <w:p w14:paraId="37F33F0D" w14:textId="29993C31" w:rsidR="0050644B" w:rsidRPr="0050644B" w:rsidRDefault="004C227E" w:rsidP="0050644B">
    <w:pPr>
      <w:spacing w:after="0"/>
      <w:rPr>
        <w:rFonts w:ascii="Arial" w:hAnsi="Arial" w:cs="Arial"/>
        <w:sz w:val="20"/>
        <w:szCs w:val="20"/>
      </w:rPr>
    </w:pPr>
    <w:hyperlink r:id="rId2" w:history="1">
      <w:r w:rsidR="0050644B" w:rsidRPr="005064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http://ectacenter.org/knowledgepath/ifspoutcomes-iepgoals/ifspoutcomes-iepgoals.asp</w:t>
      </w:r>
    </w:hyperlink>
    <w:r w:rsidR="0050644B" w:rsidRPr="0050644B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217E" w14:textId="77777777" w:rsidR="007E6E69" w:rsidRDefault="007E6E69" w:rsidP="007E6E69">
      <w:pPr>
        <w:spacing w:after="0" w:line="240" w:lineRule="auto"/>
      </w:pPr>
      <w:r>
        <w:separator/>
      </w:r>
    </w:p>
  </w:footnote>
  <w:footnote w:type="continuationSeparator" w:id="0">
    <w:p w14:paraId="68DA71B0" w14:textId="77777777" w:rsidR="007E6E69" w:rsidRDefault="007E6E69" w:rsidP="007E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1DA"/>
    <w:multiLevelType w:val="hybridMultilevel"/>
    <w:tmpl w:val="A3E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70C3"/>
    <w:multiLevelType w:val="hybridMultilevel"/>
    <w:tmpl w:val="73C256FE"/>
    <w:lvl w:ilvl="0" w:tplc="B6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90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0A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223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10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D2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FA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AE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90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C5610C7"/>
    <w:multiLevelType w:val="hybridMultilevel"/>
    <w:tmpl w:val="854897DE"/>
    <w:lvl w:ilvl="0" w:tplc="A832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8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350D26"/>
    <w:multiLevelType w:val="hybridMultilevel"/>
    <w:tmpl w:val="B97EAC90"/>
    <w:lvl w:ilvl="0" w:tplc="CE4A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04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FC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C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C2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E8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F8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8A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18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B"/>
    <w:rsid w:val="00041758"/>
    <w:rsid w:val="000524EE"/>
    <w:rsid w:val="00053A9B"/>
    <w:rsid w:val="000D033B"/>
    <w:rsid w:val="00282CC1"/>
    <w:rsid w:val="004B554A"/>
    <w:rsid w:val="004C227E"/>
    <w:rsid w:val="0050644B"/>
    <w:rsid w:val="00611FD1"/>
    <w:rsid w:val="00651F64"/>
    <w:rsid w:val="00692FBB"/>
    <w:rsid w:val="007E6E69"/>
    <w:rsid w:val="009C4894"/>
    <w:rsid w:val="009D5ECD"/>
    <w:rsid w:val="009E366B"/>
    <w:rsid w:val="009F247F"/>
    <w:rsid w:val="00AF6DF2"/>
    <w:rsid w:val="00B320A5"/>
    <w:rsid w:val="00B84E5E"/>
    <w:rsid w:val="00C02D83"/>
    <w:rsid w:val="00C47A70"/>
    <w:rsid w:val="00C82A4D"/>
    <w:rsid w:val="00DE13D2"/>
    <w:rsid w:val="00E611D9"/>
    <w:rsid w:val="00E75983"/>
    <w:rsid w:val="00E92644"/>
    <w:rsid w:val="00EA2314"/>
    <w:rsid w:val="00EE4C1D"/>
    <w:rsid w:val="00F4366E"/>
    <w:rsid w:val="00F7012B"/>
    <w:rsid w:val="00F77640"/>
    <w:rsid w:val="00F83268"/>
    <w:rsid w:val="00F858C1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9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6B"/>
    <w:rPr>
      <w:color w:val="0000FF" w:themeColor="hyperlink"/>
      <w:u w:val="single"/>
    </w:rPr>
  </w:style>
  <w:style w:type="paragraph" w:customStyle="1" w:styleId="Default">
    <w:name w:val="Default"/>
    <w:rsid w:val="00B3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D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2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69"/>
  </w:style>
  <w:style w:type="paragraph" w:styleId="Footer">
    <w:name w:val="footer"/>
    <w:basedOn w:val="Normal"/>
    <w:link w:val="Foot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69"/>
  </w:style>
  <w:style w:type="paragraph" w:styleId="BalloonText">
    <w:name w:val="Balloon Text"/>
    <w:basedOn w:val="Normal"/>
    <w:link w:val="BalloonTextChar"/>
    <w:uiPriority w:val="99"/>
    <w:semiHidden/>
    <w:unhideWhenUsed/>
    <w:rsid w:val="007E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5064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44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0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6B"/>
    <w:rPr>
      <w:color w:val="0000FF" w:themeColor="hyperlink"/>
      <w:u w:val="single"/>
    </w:rPr>
  </w:style>
  <w:style w:type="paragraph" w:customStyle="1" w:styleId="Default">
    <w:name w:val="Default"/>
    <w:rsid w:val="00B3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D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2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69"/>
  </w:style>
  <w:style w:type="paragraph" w:styleId="Footer">
    <w:name w:val="footer"/>
    <w:basedOn w:val="Normal"/>
    <w:link w:val="Foot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69"/>
  </w:style>
  <w:style w:type="paragraph" w:styleId="BalloonText">
    <w:name w:val="Balloon Text"/>
    <w:basedOn w:val="Normal"/>
    <w:link w:val="BalloonTextChar"/>
    <w:uiPriority w:val="99"/>
    <w:semiHidden/>
    <w:unhideWhenUsed/>
    <w:rsid w:val="007E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5064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44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0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ctacenter.org/~pdfs/topics/families/AgreedUponPractices_FinalDraft2_01_08.pdf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ippcase.org/briefcase/briefcase_vol2_no1.pdf" TargetMode="External"/><Relationship Id="rId11" Type="http://schemas.openxmlformats.org/officeDocument/2006/relationships/hyperlink" Target="http://ectacenter.org/topics/families/famresources.asp" TargetMode="External"/><Relationship Id="rId12" Type="http://schemas.openxmlformats.org/officeDocument/2006/relationships/hyperlink" Target="http://ectacenter.org/~pdfs/knowledgepath/ifspoutcomes-iepgoals/Key_Practices_IEP_Process.pdf" TargetMode="External"/><Relationship Id="rId13" Type="http://schemas.openxmlformats.org/officeDocument/2006/relationships/hyperlink" Target="http://nectac.org/%7Epdfs/topics/families/AgreedUponPractices_FinalDraft2_01_08.pdf" TargetMode="External"/><Relationship Id="rId14" Type="http://schemas.openxmlformats.org/officeDocument/2006/relationships/hyperlink" Target="http://ectacenter.org/~pdfs/topics/families/AgreedUponPractices_FinalDraft2_01_08.pdf" TargetMode="External"/><Relationship Id="rId15" Type="http://schemas.openxmlformats.org/officeDocument/2006/relationships/hyperlink" Target="http://www2.ed.gov/parents/needs/speced/iepguide/index.html" TargetMode="External"/><Relationship Id="rId16" Type="http://schemas.openxmlformats.org/officeDocument/2006/relationships/hyperlink" Target="http://www2.ed.gov/policy/speced/guid/idea/modelform-iep.pdf" TargetMode="External"/><Relationship Id="rId17" Type="http://schemas.openxmlformats.org/officeDocument/2006/relationships/hyperlink" Target="http://www2.ed.gov/parents/needs/speced/iepguide/index.html" TargetMode="External"/><Relationship Id="rId18" Type="http://schemas.openxmlformats.org/officeDocument/2006/relationships/hyperlink" Target="http://dpi.state.wi.us/sped/pdf/iepguide.pdf" TargetMode="External"/><Relationship Id="rId19" Type="http://schemas.openxmlformats.org/officeDocument/2006/relationships/hyperlink" Target="http://dpi.state.wi.us/sped/pdf/iepstandardsguide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tacenter.org/~pdfs/knowledgepath/ifspoutcomes-iepgoals/Resources_Writing_IFSPs_IEPs.pdf" TargetMode="External"/><Relationship Id="rId2" Type="http://schemas.openxmlformats.org/officeDocument/2006/relationships/hyperlink" Target="http://ectacenter.org/knowledgepath/ifspoutcomes-iepgoals/ifspoutcomes-iepgo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Gillaspy</dc:creator>
  <cp:lastModifiedBy>A</cp:lastModifiedBy>
  <cp:revision>21</cp:revision>
  <dcterms:created xsi:type="dcterms:W3CDTF">2012-11-15T22:49:00Z</dcterms:created>
  <dcterms:modified xsi:type="dcterms:W3CDTF">2014-06-03T17:09:00Z</dcterms:modified>
</cp:coreProperties>
</file>